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w:t>
            </w:r>
            <w:r>
              <w:rPr>
                <w:rFonts w:hint="eastAsia" w:ascii="黑体" w:hAnsi="黑体" w:eastAsia="黑体"/>
                <w:sz w:val="21"/>
                <w:szCs w:val="21"/>
              </w:rPr>
              <w:t>.</w:t>
            </w:r>
            <w:r>
              <w:rPr>
                <w:rFonts w:ascii="黑体" w:hAnsi="黑体" w:eastAsia="黑体"/>
                <w:sz w:val="21"/>
                <w:szCs w:val="21"/>
              </w:rPr>
              <w:t>120</w:t>
            </w:r>
            <w:r>
              <w:rPr>
                <w:rFonts w:hint="eastAsia" w:ascii="黑体" w:hAnsi="黑体" w:eastAsia="黑体"/>
                <w:sz w:val="21"/>
                <w:szCs w:val="21"/>
              </w:rPr>
              <w:t>.</w:t>
            </w:r>
            <w:r>
              <w:rPr>
                <w:rFonts w:ascii="黑体" w:hAnsi="黑体" w:eastAsia="黑体"/>
                <w:sz w:val="21"/>
                <w:szCs w:val="21"/>
              </w:rPr>
              <w:t>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JPH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好品济宁农品 品牌评价要求</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Evaluation requirements for </w:t>
      </w:r>
      <w:r>
        <w:rPr>
          <w:rFonts w:hint="eastAsia" w:eastAsia="黑体"/>
          <w:szCs w:val="28"/>
        </w:rPr>
        <w:t>Remarkable</w:t>
      </w:r>
      <w:r>
        <w:rPr>
          <w:rFonts w:eastAsia="黑体"/>
          <w:szCs w:val="28"/>
        </w:rPr>
        <w:t xml:space="preserve"> Jining agricultural products     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pPr>
      <w:bookmarkStart w:id="169" w:name="_GoBack"/>
      <w:bookmarkEnd w:id="169"/>
      <w:bookmarkStart w:id="21" w:name="BookMark1"/>
      <w:bookmarkStart w:id="22" w:name="_Toc115684162"/>
      <w:bookmarkStart w:id="23" w:name="_Toc115684253"/>
      <w:bookmarkStart w:id="24" w:name="_Toc11568430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"_Toc115684464" </w:instrText>
      </w:r>
      <w:r>
        <w:fldChar w:fldCharType="separate"/>
      </w:r>
      <w:r>
        <w:rPr>
          <w:rStyle w:val="33"/>
        </w:rPr>
        <w:t>前言</w:t>
      </w:r>
      <w:r>
        <w:tab/>
      </w:r>
      <w:r>
        <w:fldChar w:fldCharType="begin"/>
      </w:r>
      <w:r>
        <w:instrText xml:space="preserve"> PAGEREF _Toc115684464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"_Toc115684465" </w:instrText>
      </w:r>
      <w:r>
        <w:fldChar w:fldCharType="separate"/>
      </w:r>
      <w:r>
        <w:rPr>
          <w:rStyle w:val="33"/>
        </w:rPr>
        <w:t>1  范围</w:t>
      </w:r>
      <w:r>
        <w:tab/>
      </w:r>
      <w:r>
        <w:fldChar w:fldCharType="begin"/>
      </w:r>
      <w:r>
        <w:instrText xml:space="preserve"> PAGEREF _Toc115684465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"_Toc115684466" </w:instrText>
      </w:r>
      <w:r>
        <w:fldChar w:fldCharType="separate"/>
      </w:r>
      <w:r>
        <w:rPr>
          <w:rStyle w:val="33"/>
        </w:rPr>
        <w:t>2  规范性引用文件</w:t>
      </w:r>
      <w:r>
        <w:tab/>
      </w:r>
      <w:r>
        <w:fldChar w:fldCharType="begin"/>
      </w:r>
      <w:r>
        <w:instrText xml:space="preserve"> PAGEREF _Toc115684466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"_Toc115684467" </w:instrText>
      </w:r>
      <w:r>
        <w:fldChar w:fldCharType="separate"/>
      </w:r>
      <w:r>
        <w:rPr>
          <w:rStyle w:val="33"/>
        </w:rPr>
        <w:t>3  术语和定义</w:t>
      </w:r>
      <w:r>
        <w:tab/>
      </w:r>
      <w:r>
        <w:fldChar w:fldCharType="begin"/>
      </w:r>
      <w:r>
        <w:instrText xml:space="preserve"> PAGEREF _Toc115684467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"_Toc115684468" </w:instrText>
      </w:r>
      <w:r>
        <w:fldChar w:fldCharType="separate"/>
      </w:r>
      <w:r>
        <w:rPr>
          <w:rStyle w:val="33"/>
        </w:rPr>
        <w:t>4  品牌认定</w:t>
      </w:r>
      <w:r>
        <w:tab/>
      </w:r>
      <w:r>
        <w:fldChar w:fldCharType="begin"/>
      </w:r>
      <w:r>
        <w:instrText xml:space="preserve"> PAGEREF _Toc115684468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"_Toc115684469" </w:instrText>
      </w:r>
      <w:r>
        <w:fldChar w:fldCharType="separate"/>
      </w:r>
      <w:r>
        <w:rPr>
          <w:rStyle w:val="33"/>
          <w14:scene3d w14:prst="orthographicFront">
            <w14:lightRig w14:rig="threePt" w14:dir="t">
              <w14:rot w14:lat="0" w14:lon="0" w14:rev="0"/>
            </w14:lightRig>
          </w14:scene3d>
        </w:rPr>
        <w:t xml:space="preserve">4.1 </w:t>
      </w:r>
      <w:r>
        <w:rPr>
          <w:rStyle w:val="33"/>
        </w:rPr>
        <w:t xml:space="preserve"> 品牌架构</w:t>
      </w:r>
      <w:r>
        <w:tab/>
      </w:r>
      <w:r>
        <w:fldChar w:fldCharType="begin"/>
      </w:r>
      <w:r>
        <w:instrText xml:space="preserve"> PAGEREF _Toc115684469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"_Toc115684470" </w:instrText>
      </w:r>
      <w:r>
        <w:fldChar w:fldCharType="separate"/>
      </w:r>
      <w:r>
        <w:rPr>
          <w:rStyle w:val="33"/>
          <w14:scene3d w14:prst="orthographicFront">
            <w14:lightRig w14:rig="threePt" w14:dir="t">
              <w14:rot w14:lat="0" w14:lon="0" w14:rev="0"/>
            </w14:lightRig>
          </w14:scene3d>
        </w:rPr>
        <w:t xml:space="preserve">4.2 </w:t>
      </w:r>
      <w:r>
        <w:rPr>
          <w:rStyle w:val="33"/>
        </w:rPr>
        <w:t xml:space="preserve"> 认定依据</w:t>
      </w:r>
      <w:r>
        <w:tab/>
      </w:r>
      <w:r>
        <w:fldChar w:fldCharType="begin"/>
      </w:r>
      <w:r>
        <w:instrText xml:space="preserve"> PAGEREF _Toc115684470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"_Toc115684471" </w:instrText>
      </w:r>
      <w:r>
        <w:fldChar w:fldCharType="separate"/>
      </w:r>
      <w:r>
        <w:rPr>
          <w:rStyle w:val="33"/>
          <w14:scene3d w14:prst="orthographicFront">
            <w14:lightRig w14:rig="threePt" w14:dir="t">
              <w14:rot w14:lat="0" w14:lon="0" w14:rev="0"/>
            </w14:lightRig>
          </w14:scene3d>
        </w:rPr>
        <w:t xml:space="preserve">4.3 </w:t>
      </w:r>
      <w:r>
        <w:rPr>
          <w:rStyle w:val="33"/>
        </w:rPr>
        <w:t xml:space="preserve"> 认定方式</w:t>
      </w:r>
      <w:r>
        <w:tab/>
      </w:r>
      <w:r>
        <w:fldChar w:fldCharType="begin"/>
      </w:r>
      <w:r>
        <w:instrText xml:space="preserve"> PAGEREF _Toc115684471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"_Toc115684472" </w:instrText>
      </w:r>
      <w:r>
        <w:fldChar w:fldCharType="separate"/>
      </w:r>
      <w:r>
        <w:rPr>
          <w:rStyle w:val="33"/>
        </w:rPr>
        <w:t>5  基本要求</w:t>
      </w:r>
      <w:r>
        <w:tab/>
      </w:r>
      <w:r>
        <w:fldChar w:fldCharType="begin"/>
      </w:r>
      <w:r>
        <w:instrText xml:space="preserve"> PAGEREF _Toc115684472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"_Toc115684473" </w:instrText>
      </w:r>
      <w:r>
        <w:fldChar w:fldCharType="separate"/>
      </w:r>
      <w:r>
        <w:rPr>
          <w:rStyle w:val="33"/>
        </w:rPr>
        <w:t>6  管理体系</w:t>
      </w:r>
      <w:r>
        <w:tab/>
      </w:r>
      <w:r>
        <w:fldChar w:fldCharType="begin"/>
      </w:r>
      <w:r>
        <w:instrText xml:space="preserve"> PAGEREF _Toc115684473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"_Toc115684474" </w:instrText>
      </w:r>
      <w:r>
        <w:fldChar w:fldCharType="separate"/>
      </w:r>
      <w:r>
        <w:rPr>
          <w:rStyle w:val="33"/>
        </w:rPr>
        <w:t>7  生产管理</w:t>
      </w:r>
      <w:r>
        <w:tab/>
      </w:r>
      <w:r>
        <w:fldChar w:fldCharType="begin"/>
      </w:r>
      <w:r>
        <w:instrText xml:space="preserve"> PAGEREF _Toc115684474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"_Toc115684475" </w:instrText>
      </w:r>
      <w:r>
        <w:fldChar w:fldCharType="separate"/>
      </w:r>
      <w:r>
        <w:rPr>
          <w:rStyle w:val="33"/>
          <w14:scene3d w14:prst="orthographicFront">
            <w14:lightRig w14:rig="threePt" w14:dir="t">
              <w14:rot w14:lat="0" w14:lon="0" w14:rev="0"/>
            </w14:lightRig>
          </w14:scene3d>
        </w:rPr>
        <w:t xml:space="preserve">7.1 </w:t>
      </w:r>
      <w:r>
        <w:rPr>
          <w:rStyle w:val="33"/>
        </w:rPr>
        <w:t xml:space="preserve"> 投入品管理</w:t>
      </w:r>
      <w:r>
        <w:tab/>
      </w:r>
      <w:r>
        <w:fldChar w:fldCharType="begin"/>
      </w:r>
      <w:r>
        <w:instrText xml:space="preserve"> PAGEREF _Toc115684475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"_Toc115684476" </w:instrText>
      </w:r>
      <w:r>
        <w:fldChar w:fldCharType="separate"/>
      </w:r>
      <w:r>
        <w:rPr>
          <w:rStyle w:val="33"/>
          <w14:scene3d w14:prst="orthographicFront">
            <w14:lightRig w14:rig="threePt" w14:dir="t">
              <w14:rot w14:lat="0" w14:lon="0" w14:rev="0"/>
            </w14:lightRig>
          </w14:scene3d>
        </w:rPr>
        <w:t xml:space="preserve">7.2 </w:t>
      </w:r>
      <w:r>
        <w:rPr>
          <w:rStyle w:val="33"/>
        </w:rPr>
        <w:t xml:space="preserve"> 生产组织</w:t>
      </w:r>
      <w:r>
        <w:tab/>
      </w:r>
      <w:r>
        <w:fldChar w:fldCharType="begin"/>
      </w:r>
      <w:r>
        <w:instrText xml:space="preserve"> PAGEREF _Toc115684476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"_Toc115684477" </w:instrText>
      </w:r>
      <w:r>
        <w:fldChar w:fldCharType="separate"/>
      </w:r>
      <w:r>
        <w:rPr>
          <w:rStyle w:val="33"/>
          <w14:scene3d w14:prst="orthographicFront">
            <w14:lightRig w14:rig="threePt" w14:dir="t">
              <w14:rot w14:lat="0" w14:lon="0" w14:rev="0"/>
            </w14:lightRig>
          </w14:scene3d>
        </w:rPr>
        <w:t xml:space="preserve">7.3 </w:t>
      </w:r>
      <w:r>
        <w:rPr>
          <w:rStyle w:val="33"/>
        </w:rPr>
        <w:t xml:space="preserve"> 质量控制</w:t>
      </w:r>
      <w:r>
        <w:tab/>
      </w:r>
      <w:r>
        <w:fldChar w:fldCharType="begin"/>
      </w:r>
      <w:r>
        <w:instrText xml:space="preserve"> PAGEREF _Toc115684477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"_Toc115684478" </w:instrText>
      </w:r>
      <w:r>
        <w:fldChar w:fldCharType="separate"/>
      </w:r>
      <w:r>
        <w:rPr>
          <w:rStyle w:val="33"/>
        </w:rPr>
        <w:t>8  供应和服务管理</w:t>
      </w:r>
      <w:r>
        <w:tab/>
      </w:r>
      <w:r>
        <w:fldChar w:fldCharType="begin"/>
      </w:r>
      <w:r>
        <w:instrText xml:space="preserve"> PAGEREF _Toc115684478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"_Toc115684479" </w:instrText>
      </w:r>
      <w:r>
        <w:fldChar w:fldCharType="separate"/>
      </w:r>
      <w:r>
        <w:rPr>
          <w:rStyle w:val="33"/>
        </w:rPr>
        <w:t>9  可持续发展</w:t>
      </w:r>
      <w:r>
        <w:tab/>
      </w:r>
      <w:r>
        <w:fldChar w:fldCharType="begin"/>
      </w:r>
      <w:r>
        <w:instrText xml:space="preserve"> PAGEREF _Toc115684479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"_Toc115684480" </w:instrText>
      </w:r>
      <w:r>
        <w:fldChar w:fldCharType="separate"/>
      </w:r>
      <w:r>
        <w:rPr>
          <w:rStyle w:val="33"/>
          <w14:scene3d w14:prst="orthographicFront">
            <w14:lightRig w14:rig="threePt" w14:dir="t">
              <w14:rot w14:lat="0" w14:lon="0" w14:rev="0"/>
            </w14:lightRig>
          </w14:scene3d>
        </w:rPr>
        <w:t xml:space="preserve">9.1 </w:t>
      </w:r>
      <w:r>
        <w:rPr>
          <w:rStyle w:val="33"/>
        </w:rPr>
        <w:t xml:space="preserve"> 生产基地</w:t>
      </w:r>
      <w:r>
        <w:tab/>
      </w:r>
      <w:r>
        <w:fldChar w:fldCharType="begin"/>
      </w:r>
      <w:r>
        <w:instrText xml:space="preserve"> PAGEREF _Toc115684480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"_Toc115684481" </w:instrText>
      </w:r>
      <w:r>
        <w:fldChar w:fldCharType="separate"/>
      </w:r>
      <w:r>
        <w:rPr>
          <w:rStyle w:val="33"/>
          <w14:scene3d w14:prst="orthographicFront">
            <w14:lightRig w14:rig="threePt" w14:dir="t">
              <w14:rot w14:lat="0" w14:lon="0" w14:rev="0"/>
            </w14:lightRig>
          </w14:scene3d>
        </w:rPr>
        <w:t xml:space="preserve">9.2 </w:t>
      </w:r>
      <w:r>
        <w:rPr>
          <w:rStyle w:val="33"/>
        </w:rPr>
        <w:t xml:space="preserve"> 技术支撑</w:t>
      </w:r>
      <w:r>
        <w:tab/>
      </w:r>
      <w:r>
        <w:fldChar w:fldCharType="begin"/>
      </w:r>
      <w:r>
        <w:instrText xml:space="preserve"> PAGEREF _Toc115684481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"_Toc115684482" </w:instrText>
      </w:r>
      <w:r>
        <w:fldChar w:fldCharType="separate"/>
      </w:r>
      <w:r>
        <w:rPr>
          <w:rStyle w:val="33"/>
          <w14:scene3d w14:prst="orthographicFront">
            <w14:lightRig w14:rig="threePt" w14:dir="t">
              <w14:rot w14:lat="0" w14:lon="0" w14:rev="0"/>
            </w14:lightRig>
          </w14:scene3d>
        </w:rPr>
        <w:t xml:space="preserve">9.3 </w:t>
      </w:r>
      <w:r>
        <w:rPr>
          <w:rStyle w:val="33"/>
        </w:rPr>
        <w:t xml:space="preserve"> 经营模式</w:t>
      </w:r>
      <w:r>
        <w:tab/>
      </w:r>
      <w:r>
        <w:fldChar w:fldCharType="begin"/>
      </w:r>
      <w:r>
        <w:instrText xml:space="preserve"> PAGEREF _Toc115684482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"_Toc115684483" </w:instrText>
      </w:r>
      <w:r>
        <w:fldChar w:fldCharType="separate"/>
      </w:r>
      <w:r>
        <w:rPr>
          <w:rStyle w:val="33"/>
        </w:rPr>
        <w:t>10  风险管理</w:t>
      </w:r>
      <w:r>
        <w:tab/>
      </w:r>
      <w:r>
        <w:fldChar w:fldCharType="begin"/>
      </w:r>
      <w:r>
        <w:instrText xml:space="preserve"> PAGEREF _Toc115684483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"_Toc115684484" </w:instrText>
      </w:r>
      <w:r>
        <w:fldChar w:fldCharType="separate"/>
      </w:r>
      <w:r>
        <w:rPr>
          <w:rStyle w:val="33"/>
        </w:rPr>
        <w:t>11  人员管理</w:t>
      </w:r>
      <w:r>
        <w:tab/>
      </w:r>
      <w:r>
        <w:fldChar w:fldCharType="begin"/>
      </w:r>
      <w:r>
        <w:instrText xml:space="preserve"> PAGEREF _Toc115684484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"_Toc115684485" </w:instrText>
      </w:r>
      <w:r>
        <w:fldChar w:fldCharType="separate"/>
      </w:r>
      <w:r>
        <w:rPr>
          <w:rStyle w:val="33"/>
        </w:rPr>
        <w:t>12  履行主体责任</w:t>
      </w:r>
      <w:r>
        <w:tab/>
      </w:r>
      <w:r>
        <w:fldChar w:fldCharType="begin"/>
      </w:r>
      <w:r>
        <w:instrText xml:space="preserve"> PAGEREF _Toc115684485 \h </w:instrText>
      </w:r>
      <w:r>
        <w:fldChar w:fldCharType="separate"/>
      </w:r>
      <w:r>
        <w:t>3</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5" w:name="_Toc115684464"/>
      <w:bookmarkStart w:id="26" w:name="BookMark2"/>
      <w:r>
        <w:rPr>
          <w:spacing w:val="320"/>
        </w:rPr>
        <w:t>前</w:t>
      </w:r>
      <w:r>
        <w:t>言</w:t>
      </w:r>
      <w:bookmarkEnd w:id="22"/>
      <w:bookmarkEnd w:id="23"/>
      <w:bookmarkEnd w:id="24"/>
      <w:bookmarkEnd w:id="25"/>
    </w:p>
    <w:p>
      <w:pPr>
        <w:pStyle w:val="57"/>
        <w:ind w:firstLine="420"/>
      </w:pPr>
      <w:r>
        <w:rPr>
          <w:rFonts w:hint="eastAsia"/>
        </w:rPr>
        <w:t>本文件按照GB/T 1.1—2020《标准化工作导则  第1部分：标准化文件的结构和起草规则》的规定起草。</w:t>
      </w:r>
    </w:p>
    <w:p>
      <w:pPr>
        <w:ind w:firstLine="420" w:firstLineChars="200"/>
      </w:pPr>
      <w:r>
        <w:rPr>
          <w:rFonts w:hint="eastAsia"/>
        </w:rPr>
        <w:t>本文件由济宁市品牌建设促进会提出并归口。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EAAA3A9D777C4E30A020E2EE01F7BD0A"/>
        </w:placeholder>
      </w:sdtPr>
      <w:sdtContent>
        <w:p>
          <w:pPr>
            <w:pStyle w:val="178"/>
            <w:spacing w:before="2" w:beforeLines="1" w:after="528" w:afterLines="220"/>
          </w:pPr>
          <w:bookmarkStart w:id="28" w:name="NEW_STAND_NAME"/>
          <w:r>
            <w:rPr>
              <w:rFonts w:hint="eastAsia"/>
            </w:rPr>
            <w:t>好品济宁农品</w:t>
          </w:r>
          <w:r>
            <w:t xml:space="preserve"> 品牌评价要求</w:t>
          </w:r>
        </w:p>
      </w:sdtContent>
    </w:sdt>
    <w:bookmarkEnd w:id="28"/>
    <w:p>
      <w:pPr>
        <w:pStyle w:val="105"/>
        <w:spacing w:before="240" w:after="240"/>
      </w:pPr>
      <w:bookmarkStart w:id="29" w:name="_Toc24884211"/>
      <w:bookmarkStart w:id="30" w:name="_Toc26648465"/>
      <w:bookmarkStart w:id="31" w:name="_Toc115684465"/>
      <w:bookmarkStart w:id="32" w:name="_Toc26986530"/>
      <w:bookmarkStart w:id="33" w:name="_Toc17233325"/>
      <w:bookmarkStart w:id="34" w:name="_Toc26718930"/>
      <w:bookmarkStart w:id="35" w:name="_Toc24884218"/>
      <w:bookmarkStart w:id="36" w:name="_Toc97192964"/>
      <w:bookmarkStart w:id="37" w:name="_Toc26986771"/>
      <w:bookmarkStart w:id="38" w:name="_Toc115684254"/>
      <w:bookmarkStart w:id="39" w:name="_Toc115684306"/>
      <w:bookmarkStart w:id="40" w:name="_Toc17233333"/>
      <w:bookmarkStart w:id="41" w:name="_Toc11568416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26648466"/>
      <w:bookmarkStart w:id="43" w:name="_Toc17233326"/>
      <w:bookmarkStart w:id="44" w:name="_Toc17233334"/>
      <w:bookmarkStart w:id="45" w:name="_Toc24884219"/>
      <w:bookmarkStart w:id="46" w:name="_Toc24884212"/>
      <w:r>
        <w:rPr>
          <w:rFonts w:hint="eastAsia"/>
        </w:rPr>
        <w:t>本文件规定了“好品济宁农品”品牌认定、基本要求、管理体系、生产管理、供应和服务管理、风险管理、人员管理、可持续发展、履行主体责任等。</w:t>
      </w:r>
    </w:p>
    <w:p>
      <w:pPr>
        <w:pStyle w:val="57"/>
        <w:ind w:firstLine="420"/>
      </w:pPr>
      <w:r>
        <w:rPr>
          <w:rFonts w:hint="eastAsia"/>
        </w:rPr>
        <w:t>本文件适用于“好品济宁农品”生产经营主体和品牌评价。</w:t>
      </w:r>
    </w:p>
    <w:p>
      <w:pPr>
        <w:pStyle w:val="105"/>
        <w:spacing w:before="240" w:after="240"/>
      </w:pPr>
      <w:bookmarkStart w:id="47" w:name="_Toc115684164"/>
      <w:bookmarkStart w:id="48" w:name="_Toc115684255"/>
      <w:bookmarkStart w:id="49" w:name="_Toc115684307"/>
      <w:bookmarkStart w:id="50" w:name="_Toc26986772"/>
      <w:bookmarkStart w:id="51" w:name="_Toc115684466"/>
      <w:bookmarkStart w:id="52" w:name="_Toc26718931"/>
      <w:bookmarkStart w:id="53" w:name="_Toc97192965"/>
      <w:bookmarkStart w:id="54" w:name="_Toc269865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B283310DADED463B9BFF3A4FF169FA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t>GB/T 20014 良好农业规范</w:t>
      </w:r>
    </w:p>
    <w:p>
      <w:pPr>
        <w:pStyle w:val="57"/>
        <w:ind w:firstLine="420"/>
      </w:pPr>
      <w:r>
        <w:rPr>
          <w:rFonts w:hint="eastAsia"/>
        </w:rPr>
        <w:t>好品济宁 品牌管理要求</w:t>
      </w:r>
    </w:p>
    <w:p>
      <w:pPr>
        <w:pStyle w:val="105"/>
        <w:spacing w:before="240" w:after="240"/>
      </w:pPr>
      <w:bookmarkStart w:id="55" w:name="_Toc115684165"/>
      <w:bookmarkStart w:id="56" w:name="_Toc115684256"/>
      <w:bookmarkStart w:id="57" w:name="_Toc115684308"/>
      <w:bookmarkStart w:id="58" w:name="_Toc97192966"/>
      <w:bookmarkStart w:id="59" w:name="_Toc115684467"/>
      <w:r>
        <w:rPr>
          <w:rFonts w:hint="eastAsia"/>
          <w:szCs w:val="21"/>
        </w:rPr>
        <w:t>术语和定义</w:t>
      </w:r>
      <w:bookmarkEnd w:id="55"/>
      <w:bookmarkEnd w:id="56"/>
      <w:bookmarkEnd w:id="57"/>
      <w:bookmarkEnd w:id="58"/>
      <w:bookmarkEnd w:id="59"/>
    </w:p>
    <w:sdt>
      <w:sdtPr>
        <w:id w:val="-1909835108"/>
        <w:placeholder>
          <w:docPart w:val="57F32A11FD7A4AC18875ACF4AE895E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0" w:name="_Toc26986532"/>
          <w:bookmarkEnd w:id="60"/>
          <w:r>
            <w:t>下列术语和定义适用于本文件。</w:t>
          </w:r>
        </w:p>
      </w:sdtContent>
    </w:sdt>
    <w:p>
      <w:pPr>
        <w:pStyle w:val="224"/>
        <w:ind w:left="424" w:leftChars="1" w:hanging="422" w:hangingChars="201"/>
        <w:rPr>
          <w:rFonts w:ascii="黑体" w:hAnsi="黑体" w:eastAsia="黑体"/>
        </w:rPr>
      </w:pPr>
      <w:r>
        <w:rPr>
          <w:rFonts w:ascii="黑体" w:hAnsi="黑体" w:eastAsia="黑体"/>
        </w:rPr>
        <w:br w:type="textWrapping"/>
      </w:r>
      <w:r>
        <w:rPr>
          <w:rFonts w:hint="eastAsia" w:ascii="黑体" w:hAnsi="黑体" w:eastAsia="黑体"/>
        </w:rPr>
        <w:t>好品济宁农品</w:t>
      </w:r>
    </w:p>
    <w:p>
      <w:pPr>
        <w:pStyle w:val="57"/>
        <w:ind w:firstLine="420"/>
      </w:pPr>
      <w:r>
        <w:rPr>
          <w:rFonts w:hint="eastAsia"/>
        </w:rPr>
        <w:t>代表优质、安全、绿色、健康、放心的农产品及衍生品的济宁区域公用品牌。</w:t>
      </w:r>
    </w:p>
    <w:p>
      <w:pPr>
        <w:pStyle w:val="105"/>
        <w:spacing w:before="240" w:after="240"/>
      </w:pPr>
      <w:bookmarkStart w:id="61" w:name="_Toc115684309"/>
      <w:bookmarkStart w:id="62" w:name="_Toc115684166"/>
      <w:bookmarkStart w:id="63" w:name="_Toc115684468"/>
      <w:bookmarkStart w:id="64" w:name="_Toc115684257"/>
      <w:r>
        <w:rPr>
          <w:rFonts w:hint="eastAsia"/>
        </w:rPr>
        <w:t>品牌认定</w:t>
      </w:r>
      <w:bookmarkEnd w:id="61"/>
      <w:bookmarkEnd w:id="62"/>
      <w:bookmarkEnd w:id="63"/>
      <w:bookmarkEnd w:id="64"/>
    </w:p>
    <w:p>
      <w:pPr>
        <w:pStyle w:val="106"/>
        <w:spacing w:before="120" w:after="120"/>
      </w:pPr>
      <w:bookmarkStart w:id="65" w:name="_Toc115684167"/>
      <w:bookmarkStart w:id="66" w:name="_Toc115684258"/>
      <w:bookmarkStart w:id="67" w:name="_Toc115684310"/>
      <w:bookmarkStart w:id="68" w:name="_Toc115684469"/>
      <w:r>
        <w:rPr>
          <w:rFonts w:hint="eastAsia"/>
        </w:rPr>
        <w:t>品牌架构</w:t>
      </w:r>
      <w:bookmarkEnd w:id="65"/>
      <w:bookmarkEnd w:id="66"/>
      <w:bookmarkEnd w:id="67"/>
      <w:bookmarkEnd w:id="68"/>
    </w:p>
    <w:p>
      <w:pPr>
        <w:pStyle w:val="57"/>
        <w:ind w:firstLine="420"/>
      </w:pPr>
      <w:r>
        <w:rPr>
          <w:rFonts w:hint="eastAsia"/>
        </w:rPr>
        <w:t>“好品济宁农品”是</w:t>
      </w:r>
      <w:bookmarkStart w:id="69" w:name="_Hlk115643097"/>
      <w:r>
        <w:rPr>
          <w:rFonts w:hint="eastAsia"/>
        </w:rPr>
        <w:t>“好品济宁”品牌在农业领域的子品牌</w:t>
      </w:r>
      <w:bookmarkEnd w:id="69"/>
      <w:r>
        <w:rPr>
          <w:rFonts w:hint="eastAsia"/>
        </w:rPr>
        <w:t>，由“好品济宁”品牌管理机构负责品牌管理。各企业可根据农产品特点，创建并转化“好品济宁农品”特色品牌。</w:t>
      </w:r>
    </w:p>
    <w:p>
      <w:pPr>
        <w:pStyle w:val="106"/>
        <w:spacing w:before="120" w:after="120"/>
      </w:pPr>
      <w:bookmarkStart w:id="70" w:name="_Toc115684470"/>
      <w:bookmarkStart w:id="71" w:name="_Toc115684168"/>
      <w:bookmarkStart w:id="72" w:name="_Toc115684311"/>
      <w:bookmarkStart w:id="73" w:name="_Toc115684259"/>
      <w:r>
        <w:rPr>
          <w:rFonts w:hint="eastAsia"/>
        </w:rPr>
        <w:t>认定依据</w:t>
      </w:r>
      <w:bookmarkEnd w:id="70"/>
      <w:bookmarkEnd w:id="71"/>
      <w:bookmarkEnd w:id="72"/>
      <w:bookmarkEnd w:id="73"/>
    </w:p>
    <w:p>
      <w:pPr>
        <w:pStyle w:val="57"/>
        <w:ind w:firstLine="420"/>
      </w:pPr>
      <w:r>
        <w:rPr>
          <w:rFonts w:hint="eastAsia"/>
        </w:rPr>
        <w:t>按《好品济宁 品牌管理要求》执行。</w:t>
      </w:r>
    </w:p>
    <w:p>
      <w:pPr>
        <w:pStyle w:val="106"/>
        <w:spacing w:before="120" w:after="120"/>
      </w:pPr>
      <w:bookmarkStart w:id="74" w:name="_Toc115684312"/>
      <w:bookmarkStart w:id="75" w:name="_Toc115684169"/>
      <w:bookmarkStart w:id="76" w:name="_Toc115684471"/>
      <w:bookmarkStart w:id="77" w:name="_Toc115684260"/>
      <w:r>
        <w:rPr>
          <w:rFonts w:hint="eastAsia"/>
        </w:rPr>
        <w:t>认定方式</w:t>
      </w:r>
      <w:bookmarkEnd w:id="74"/>
      <w:bookmarkEnd w:id="75"/>
      <w:bookmarkEnd w:id="76"/>
      <w:bookmarkEnd w:id="77"/>
    </w:p>
    <w:p>
      <w:pPr>
        <w:pStyle w:val="57"/>
        <w:ind w:firstLine="420"/>
      </w:pPr>
      <w:r>
        <w:rPr>
          <w:rFonts w:hint="eastAsia"/>
        </w:rPr>
        <w:t>申请组织及其产品在符合认定依据的前提下，可自愿选择以下两种模式中的一种：</w:t>
      </w:r>
    </w:p>
    <w:p>
      <w:pPr>
        <w:pStyle w:val="57"/>
        <w:ind w:firstLine="420"/>
      </w:pPr>
      <w:r>
        <w:rPr>
          <w:rFonts w:hint="eastAsia"/>
        </w:rPr>
        <w:t>a)“自我声明+承诺”模式；</w:t>
      </w:r>
    </w:p>
    <w:p>
      <w:pPr>
        <w:pStyle w:val="57"/>
        <w:ind w:firstLine="420"/>
      </w:pPr>
      <w:r>
        <w:rPr>
          <w:rFonts w:hint="eastAsia"/>
        </w:rPr>
        <w:t>b)“特色品牌转化”模式。</w:t>
      </w:r>
    </w:p>
    <w:p>
      <w:pPr>
        <w:pStyle w:val="105"/>
        <w:spacing w:before="240" w:after="240"/>
      </w:pPr>
      <w:bookmarkStart w:id="78" w:name="_Toc115684472"/>
      <w:bookmarkStart w:id="79" w:name="_Toc115684261"/>
      <w:bookmarkStart w:id="80" w:name="_Toc115684313"/>
      <w:bookmarkStart w:id="81" w:name="_Toc115684170"/>
      <w:r>
        <w:rPr>
          <w:rFonts w:hint="eastAsia"/>
        </w:rPr>
        <w:t>基本要求</w:t>
      </w:r>
      <w:bookmarkEnd w:id="78"/>
      <w:bookmarkEnd w:id="79"/>
      <w:bookmarkEnd w:id="80"/>
      <w:bookmarkEnd w:id="81"/>
    </w:p>
    <w:p>
      <w:pPr>
        <w:pStyle w:val="57"/>
        <w:ind w:firstLine="420"/>
      </w:pPr>
      <w:r>
        <w:rPr>
          <w:rFonts w:hint="eastAsia"/>
        </w:rPr>
        <w:t>农产品生产经营主体应达到以下要求：</w:t>
      </w:r>
    </w:p>
    <w:p>
      <w:pPr>
        <w:pStyle w:val="57"/>
        <w:ind w:firstLine="420"/>
      </w:pPr>
      <w:r>
        <w:rPr>
          <w:rFonts w:hint="eastAsia"/>
        </w:rPr>
        <w:t>——具有独立法人资格，生产的农产品拥有注册商标并运营三年以上；</w:t>
      </w:r>
    </w:p>
    <w:p>
      <w:pPr>
        <w:pStyle w:val="57"/>
        <w:ind w:firstLine="420"/>
      </w:pPr>
      <w:r>
        <w:rPr>
          <w:rFonts w:hint="eastAsia"/>
        </w:rPr>
        <w:t>——在国家企业信用信息公示系统中未受到“行政处罚”、未列入“严重违法失信企业名单”，且监管部门的抽查中未发现质量安全问题，未发生环境生态事故；</w:t>
      </w:r>
    </w:p>
    <w:p>
      <w:pPr>
        <w:pStyle w:val="57"/>
        <w:ind w:firstLine="420"/>
      </w:pPr>
      <w:r>
        <w:rPr>
          <w:rFonts w:hint="eastAsia"/>
        </w:rPr>
        <w:t>——制定三年至五年发展规划；</w:t>
      </w:r>
    </w:p>
    <w:p>
      <w:pPr>
        <w:pStyle w:val="57"/>
        <w:ind w:firstLine="420"/>
      </w:pPr>
      <w:r>
        <w:rPr>
          <w:rFonts w:hint="eastAsia"/>
        </w:rPr>
        <w:t>——建立相应的采购、生产、质量安全、经营、财务、人事等管理制度；具备内部检查、产品追溯及持续改进等相关管理机制，并建立相应的档案记录，相关记录保存三年以上；</w:t>
      </w:r>
    </w:p>
    <w:p>
      <w:pPr>
        <w:pStyle w:val="57"/>
        <w:ind w:firstLine="420"/>
      </w:pPr>
      <w:r>
        <w:rPr>
          <w:rFonts w:hint="eastAsia"/>
        </w:rPr>
        <w:t>——设立财务部门，配备财务人员。财务与业务融合，指导经营生产，合理控制库存、生产成本。</w:t>
      </w:r>
    </w:p>
    <w:p>
      <w:pPr>
        <w:pStyle w:val="105"/>
        <w:spacing w:before="240" w:after="240"/>
      </w:pPr>
      <w:bookmarkStart w:id="82" w:name="_Toc115684262"/>
      <w:bookmarkStart w:id="83" w:name="_Toc115684314"/>
      <w:bookmarkStart w:id="84" w:name="_Toc115684473"/>
      <w:bookmarkStart w:id="85" w:name="_Toc115684171"/>
      <w:r>
        <w:rPr>
          <w:rFonts w:hint="eastAsia"/>
        </w:rPr>
        <w:t>管理体系</w:t>
      </w:r>
      <w:bookmarkEnd w:id="82"/>
      <w:bookmarkEnd w:id="83"/>
      <w:bookmarkEnd w:id="84"/>
      <w:bookmarkEnd w:id="85"/>
    </w:p>
    <w:p>
      <w:pPr>
        <w:pStyle w:val="163"/>
      </w:pPr>
      <w:bookmarkStart w:id="86" w:name="_Toc115684172"/>
      <w:r>
        <w:rPr>
          <w:rFonts w:hint="eastAsia"/>
        </w:rPr>
        <w:t>农产品生产经营主体宜按</w:t>
      </w:r>
      <w:r>
        <w:t>GB/T 20014</w:t>
      </w:r>
      <w:r>
        <w:rPr>
          <w:rFonts w:hint="eastAsia"/>
        </w:rPr>
        <w:t>的规定，组织建立和实施危害分析和关键控制点体系，实施良好农业规范。</w:t>
      </w:r>
      <w:bookmarkEnd w:id="86"/>
    </w:p>
    <w:p>
      <w:pPr>
        <w:pStyle w:val="163"/>
      </w:pPr>
      <w:bookmarkStart w:id="87" w:name="_Toc115684173"/>
      <w:r>
        <w:rPr>
          <w:rFonts w:hint="eastAsia"/>
        </w:rPr>
        <w:t>应对农产品全程生产控制进行追溯，追溯信息包括主体概况、产地环境、投入品采购使用、农事操作、生产管理过程、产品检测信息、物流、包装标识和上市日期等。</w:t>
      </w:r>
      <w:bookmarkEnd w:id="87"/>
    </w:p>
    <w:p>
      <w:pPr>
        <w:pStyle w:val="105"/>
        <w:spacing w:before="240" w:after="240"/>
      </w:pPr>
      <w:bookmarkStart w:id="88" w:name="_Toc115684315"/>
      <w:bookmarkStart w:id="89" w:name="_Toc115684174"/>
      <w:bookmarkStart w:id="90" w:name="_Toc115684263"/>
      <w:bookmarkStart w:id="91" w:name="_Toc115684474"/>
      <w:r>
        <w:rPr>
          <w:rFonts w:hint="eastAsia"/>
        </w:rPr>
        <w:t>生产管理</w:t>
      </w:r>
      <w:bookmarkEnd w:id="88"/>
      <w:bookmarkEnd w:id="89"/>
      <w:bookmarkEnd w:id="90"/>
      <w:bookmarkEnd w:id="91"/>
    </w:p>
    <w:p>
      <w:pPr>
        <w:pStyle w:val="106"/>
        <w:spacing w:before="120" w:after="120"/>
      </w:pPr>
      <w:bookmarkStart w:id="92" w:name="_Toc115684264"/>
      <w:bookmarkStart w:id="93" w:name="_Toc115684475"/>
      <w:bookmarkStart w:id="94" w:name="_Toc115684175"/>
      <w:bookmarkStart w:id="95" w:name="_Toc115684316"/>
      <w:r>
        <w:rPr>
          <w:rFonts w:hint="eastAsia"/>
        </w:rPr>
        <w:t>投入品管理</w:t>
      </w:r>
      <w:bookmarkEnd w:id="92"/>
      <w:bookmarkEnd w:id="93"/>
      <w:bookmarkEnd w:id="94"/>
      <w:bookmarkEnd w:id="95"/>
    </w:p>
    <w:p>
      <w:pPr>
        <w:pStyle w:val="66"/>
        <w:spacing w:before="120" w:after="120"/>
        <w:rPr>
          <w:rFonts w:ascii="宋体" w:hAnsi="宋体" w:eastAsia="宋体"/>
        </w:rPr>
      </w:pPr>
      <w:r>
        <w:rPr>
          <w:rFonts w:hint="eastAsia" w:ascii="宋体" w:hAnsi="宋体" w:eastAsia="宋体"/>
        </w:rPr>
        <w:t>生产、经营中所使用的投入品应符合有关法律、行政法规和国家有关强制性标准、国务院农业农村主管部门的规定和客户等相关方的要求。</w:t>
      </w:r>
    </w:p>
    <w:p>
      <w:pPr>
        <w:pStyle w:val="66"/>
        <w:spacing w:before="120" w:after="120"/>
        <w:rPr>
          <w:rFonts w:ascii="宋体" w:hAnsi="宋体" w:eastAsia="宋体"/>
        </w:rPr>
      </w:pPr>
      <w:r>
        <w:rPr>
          <w:rFonts w:hint="eastAsia" w:ascii="宋体" w:hAnsi="宋体" w:eastAsia="宋体"/>
        </w:rPr>
        <w:t>生产用水和用作肥料的固体废物，应当符合</w:t>
      </w:r>
      <w:r>
        <w:rPr>
          <w:rFonts w:hint="eastAsia" w:ascii="宋体" w:hAnsi="宋体" w:eastAsia="宋体"/>
          <w:lang w:eastAsia="zh-CN"/>
        </w:rPr>
        <w:t>法律法规</w:t>
      </w:r>
      <w:r>
        <w:rPr>
          <w:rFonts w:hint="eastAsia" w:ascii="宋体" w:hAnsi="宋体" w:eastAsia="宋体"/>
        </w:rPr>
        <w:t>和国家有关强制性标准的要求。</w:t>
      </w:r>
    </w:p>
    <w:p>
      <w:pPr>
        <w:pStyle w:val="66"/>
        <w:spacing w:before="120" w:after="120"/>
        <w:rPr>
          <w:rFonts w:ascii="宋体" w:hAnsi="宋体" w:eastAsia="宋体"/>
        </w:rPr>
      </w:pPr>
      <w:r>
        <w:rPr>
          <w:rFonts w:hint="eastAsia" w:ascii="宋体" w:hAnsi="宋体" w:eastAsia="宋体"/>
        </w:rPr>
        <w:t>应当科学合理使用农药、兽药、肥料、农用薄膜等农业投入品，防止对农产品产地造成污染，宜采用高效低毒、绿色、环保的投入品，并按相关规定使用。</w:t>
      </w:r>
    </w:p>
    <w:p>
      <w:pPr>
        <w:pStyle w:val="66"/>
        <w:spacing w:before="120" w:after="120"/>
        <w:rPr>
          <w:rFonts w:ascii="宋体" w:hAnsi="宋体" w:eastAsia="宋体"/>
        </w:rPr>
      </w:pPr>
      <w:r>
        <w:rPr>
          <w:rFonts w:hint="eastAsia" w:ascii="宋体" w:hAnsi="宋体" w:eastAsia="宋体"/>
        </w:rPr>
        <w:t>应有供应商审核和批准制度，采购的投入品应有质量证明。</w:t>
      </w:r>
    </w:p>
    <w:p>
      <w:pPr>
        <w:pStyle w:val="66"/>
        <w:spacing w:before="120" w:after="120"/>
        <w:rPr>
          <w:rFonts w:ascii="宋体" w:hAnsi="宋体" w:eastAsia="宋体"/>
        </w:rPr>
      </w:pPr>
      <w:r>
        <w:rPr>
          <w:rFonts w:hint="eastAsia" w:ascii="宋体" w:hAnsi="宋体" w:eastAsia="宋体"/>
        </w:rPr>
        <w:t>应制定生产投入品及原辅料投入品采购、储藏、使用制度。</w:t>
      </w:r>
    </w:p>
    <w:p>
      <w:pPr>
        <w:pStyle w:val="66"/>
        <w:spacing w:before="120" w:after="120"/>
        <w:rPr>
          <w:rFonts w:ascii="宋体" w:hAnsi="宋体" w:eastAsia="宋体"/>
        </w:rPr>
      </w:pPr>
      <w:r>
        <w:rPr>
          <w:rFonts w:hint="eastAsia" w:ascii="宋体" w:hAnsi="宋体" w:eastAsia="宋体"/>
        </w:rPr>
        <w:t>投入品应配有专用仓库（库房），专人负责保管，并有相应的保管措施。</w:t>
      </w:r>
    </w:p>
    <w:p>
      <w:pPr>
        <w:pStyle w:val="166"/>
      </w:pPr>
      <w:r>
        <w:rPr>
          <w:rFonts w:hint="eastAsia"/>
        </w:rPr>
        <w:t>严格执行农业投入品使用安全间隔期或者休药期的规定。</w:t>
      </w:r>
    </w:p>
    <w:p>
      <w:pPr>
        <w:pStyle w:val="106"/>
        <w:spacing w:before="120" w:after="120"/>
      </w:pPr>
      <w:bookmarkStart w:id="96" w:name="_Toc115684476"/>
      <w:bookmarkStart w:id="97" w:name="_Toc115684265"/>
      <w:bookmarkStart w:id="98" w:name="_Toc115684176"/>
      <w:bookmarkStart w:id="99" w:name="_Toc115684317"/>
      <w:r>
        <w:rPr>
          <w:rFonts w:hint="eastAsia"/>
        </w:rPr>
        <w:t>生产组织</w:t>
      </w:r>
      <w:bookmarkEnd w:id="96"/>
      <w:bookmarkEnd w:id="97"/>
      <w:bookmarkEnd w:id="98"/>
      <w:bookmarkEnd w:id="99"/>
    </w:p>
    <w:p>
      <w:pPr>
        <w:pStyle w:val="66"/>
        <w:spacing w:before="120" w:after="120"/>
        <w:rPr>
          <w:rFonts w:ascii="宋体" w:hAnsi="宋体" w:eastAsia="宋体"/>
        </w:rPr>
      </w:pPr>
      <w:r>
        <w:rPr>
          <w:rFonts w:hint="eastAsia" w:ascii="宋体" w:hAnsi="宋体" w:eastAsia="宋体"/>
        </w:rPr>
        <w:t>应根据当地气候条件、市场需求、产品利用方式等情况，选择优质、抗性强、丰产性好的品种，宜选用优质特色农产品品种。</w:t>
      </w:r>
    </w:p>
    <w:p>
      <w:pPr>
        <w:pStyle w:val="66"/>
        <w:spacing w:before="120" w:after="120"/>
        <w:rPr>
          <w:rFonts w:ascii="宋体" w:hAnsi="宋体" w:eastAsia="宋体"/>
        </w:rPr>
      </w:pPr>
      <w:r>
        <w:rPr>
          <w:rFonts w:hint="eastAsia" w:ascii="宋体" w:hAnsi="宋体" w:eastAsia="宋体"/>
        </w:rPr>
        <w:t>配备有先进、适用的现代化农业生产设施和装备，如农业物联网、自动化农机装备、喷滴灌设施等。</w:t>
      </w:r>
    </w:p>
    <w:p>
      <w:pPr>
        <w:pStyle w:val="166"/>
      </w:pPr>
      <w:r>
        <w:rPr>
          <w:rFonts w:hint="eastAsia"/>
          <w:shd w:val="clear" w:color="auto" w:fill="FFFFFF"/>
        </w:rPr>
        <w:t>生产场所以及生产活动中使用的设施、设备、消毒剂、洗涤剂等应当符合国家有关质量安全规定。</w:t>
      </w:r>
    </w:p>
    <w:p>
      <w:pPr>
        <w:pStyle w:val="66"/>
        <w:spacing w:before="120" w:after="120"/>
        <w:rPr>
          <w:rFonts w:ascii="宋体" w:hAnsi="宋体" w:eastAsia="宋体"/>
        </w:rPr>
      </w:pPr>
      <w:r>
        <w:rPr>
          <w:rFonts w:hint="eastAsia" w:ascii="宋体" w:hAnsi="宋体" w:eastAsia="宋体"/>
        </w:rPr>
        <w:t>宜实施全程标准化生产，宜采用绿色生产技术和全程质量控制技术。</w:t>
      </w:r>
    </w:p>
    <w:p>
      <w:pPr>
        <w:pStyle w:val="66"/>
        <w:spacing w:before="120" w:after="120"/>
        <w:rPr>
          <w:rFonts w:ascii="宋体" w:hAnsi="宋体" w:eastAsia="宋体"/>
        </w:rPr>
      </w:pPr>
      <w:r>
        <w:rPr>
          <w:rFonts w:hint="eastAsia" w:ascii="宋体" w:hAnsi="宋体" w:eastAsia="宋体"/>
        </w:rPr>
        <w:t>宜采用农牧结合、粮经（水旱）轮作、套种、混养、稻渔综合种养、循环水养殖、深水大网箱养殖等生产模式，严格落实休渔制度。</w:t>
      </w:r>
    </w:p>
    <w:p>
      <w:pPr>
        <w:pStyle w:val="66"/>
        <w:spacing w:before="120" w:after="120"/>
        <w:rPr>
          <w:rFonts w:ascii="宋体" w:hAnsi="宋体" w:eastAsia="宋体"/>
        </w:rPr>
      </w:pPr>
      <w:r>
        <w:rPr>
          <w:rFonts w:hint="eastAsia" w:ascii="宋体" w:hAnsi="宋体" w:eastAsia="宋体"/>
        </w:rPr>
        <w:t>做好动植物防疫工作。</w:t>
      </w:r>
    </w:p>
    <w:p>
      <w:pPr>
        <w:pStyle w:val="66"/>
        <w:spacing w:before="120" w:after="120"/>
        <w:rPr>
          <w:rFonts w:ascii="宋体" w:hAnsi="宋体" w:eastAsia="宋体"/>
        </w:rPr>
      </w:pPr>
      <w:r>
        <w:rPr>
          <w:rFonts w:hint="eastAsia" w:ascii="宋体" w:hAnsi="宋体" w:eastAsia="宋体"/>
        </w:rPr>
        <w:t>做好废弃物回收和病死动物的无害化处理；养殖尾水排放达标或经处理后循环利用；推广废弃物资源化利用循环农业技术。</w:t>
      </w:r>
    </w:p>
    <w:p>
      <w:pPr>
        <w:pStyle w:val="166"/>
      </w:pPr>
      <w:r>
        <w:rPr>
          <w:rFonts w:hint="eastAsia"/>
        </w:rPr>
        <w:t>农药、肥料、农用薄膜等农业投入品的生产者、经营者、使用者应当按照国家有关规定回收并妥善处置包装物和废弃物。</w:t>
      </w:r>
    </w:p>
    <w:p>
      <w:pPr>
        <w:pStyle w:val="166"/>
      </w:pPr>
      <w:r>
        <w:rPr>
          <w:rFonts w:hint="eastAsia"/>
        </w:rPr>
        <w:t>应建立农产品生产记录的按相关法律规定执行。</w:t>
      </w:r>
    </w:p>
    <w:p>
      <w:pPr>
        <w:pStyle w:val="106"/>
        <w:spacing w:before="120" w:after="120"/>
      </w:pPr>
      <w:bookmarkStart w:id="100" w:name="_Toc115684318"/>
      <w:bookmarkStart w:id="101" w:name="_Toc115684477"/>
      <w:bookmarkStart w:id="102" w:name="_Toc115684266"/>
      <w:bookmarkStart w:id="103" w:name="_Toc115684177"/>
      <w:r>
        <w:rPr>
          <w:rFonts w:hint="eastAsia"/>
        </w:rPr>
        <w:t>质量控制</w:t>
      </w:r>
      <w:bookmarkEnd w:id="100"/>
      <w:bookmarkEnd w:id="101"/>
      <w:bookmarkEnd w:id="102"/>
      <w:bookmarkEnd w:id="103"/>
    </w:p>
    <w:p>
      <w:pPr>
        <w:pStyle w:val="66"/>
        <w:spacing w:before="120" w:after="120"/>
        <w:rPr>
          <w:rFonts w:ascii="宋体" w:hAnsi="宋体" w:eastAsia="宋体"/>
        </w:rPr>
      </w:pPr>
      <w:r>
        <w:rPr>
          <w:rFonts w:hint="eastAsia" w:ascii="宋体" w:hAnsi="宋体" w:eastAsia="宋体"/>
        </w:rPr>
        <w:t>配备相应的技术人员或委托具有专业技术知识的人员进行农产品质量安全指导。</w:t>
      </w:r>
    </w:p>
    <w:p>
      <w:pPr>
        <w:pStyle w:val="66"/>
        <w:spacing w:before="120" w:after="120"/>
        <w:rPr>
          <w:rFonts w:ascii="宋体" w:hAnsi="宋体" w:eastAsia="宋体"/>
        </w:rPr>
      </w:pPr>
      <w:r>
        <w:rPr>
          <w:rFonts w:hint="eastAsia" w:ascii="宋体" w:hAnsi="宋体" w:eastAsia="宋体"/>
        </w:rPr>
        <w:t>执行农产品质量安全管理制度，并符合相关农产品质量安全标准的要求。</w:t>
      </w:r>
    </w:p>
    <w:p>
      <w:pPr>
        <w:pStyle w:val="66"/>
        <w:spacing w:before="120" w:after="120"/>
        <w:rPr>
          <w:rFonts w:ascii="宋体" w:hAnsi="宋体" w:eastAsia="宋体"/>
        </w:rPr>
      </w:pPr>
      <w:r>
        <w:rPr>
          <w:rFonts w:hint="eastAsia" w:ascii="宋体" w:hAnsi="宋体" w:eastAsia="宋体"/>
        </w:rPr>
        <w:t>具有完善的质量检测监控体系，配备符合生产实际的质量管理人员及检测设备，对农产品进行检测，或定期委托有资质的检测机构检测，出具农产品合格证明。</w:t>
      </w:r>
    </w:p>
    <w:p>
      <w:pPr>
        <w:pStyle w:val="105"/>
        <w:spacing w:before="240" w:after="240"/>
      </w:pPr>
      <w:bookmarkStart w:id="104" w:name="_Toc115684178"/>
      <w:bookmarkStart w:id="105" w:name="_Toc115684267"/>
      <w:bookmarkStart w:id="106" w:name="_Toc115684478"/>
      <w:bookmarkStart w:id="107" w:name="_Toc115684319"/>
      <w:r>
        <w:rPr>
          <w:rFonts w:hint="eastAsia"/>
        </w:rPr>
        <w:t>供应和服务管理</w:t>
      </w:r>
      <w:bookmarkEnd w:id="104"/>
      <w:bookmarkEnd w:id="105"/>
      <w:bookmarkEnd w:id="106"/>
      <w:bookmarkEnd w:id="107"/>
    </w:p>
    <w:p>
      <w:pPr>
        <w:pStyle w:val="163"/>
      </w:pPr>
      <w:bookmarkStart w:id="108" w:name="_Toc115684268"/>
      <w:bookmarkStart w:id="109" w:name="_Toc115684179"/>
      <w:r>
        <w:rPr>
          <w:rFonts w:hint="eastAsia"/>
        </w:rPr>
        <w:t>有稳定的销售渠道，基本实现订单化销售。</w:t>
      </w:r>
      <w:bookmarkEnd w:id="108"/>
      <w:bookmarkEnd w:id="109"/>
    </w:p>
    <w:p>
      <w:pPr>
        <w:pStyle w:val="163"/>
      </w:pPr>
      <w:bookmarkStart w:id="110" w:name="_Toc115684180"/>
      <w:bookmarkStart w:id="111" w:name="_Toc115684269"/>
      <w:r>
        <w:rPr>
          <w:rFonts w:hint="eastAsia"/>
        </w:rPr>
        <w:t>农产品在包装、保鲜、储存、运输中所使用的保鲜剂、防腐剂、添加剂、包装材料等，应当符合国家有关强制性标准以及其他农产品质量安全规定。</w:t>
      </w:r>
      <w:bookmarkEnd w:id="110"/>
      <w:bookmarkEnd w:id="111"/>
    </w:p>
    <w:p>
      <w:pPr>
        <w:pStyle w:val="163"/>
      </w:pPr>
      <w:r>
        <w:rPr>
          <w:rFonts w:hint="eastAsia"/>
        </w:rPr>
        <w:t>冷链物流运输农产品应符合</w:t>
      </w:r>
      <w:r>
        <w:rPr>
          <w:rFonts w:hint="eastAsia"/>
          <w:lang w:eastAsia="zh-CN"/>
        </w:rPr>
        <w:t>法律法规</w:t>
      </w:r>
      <w:r>
        <w:rPr>
          <w:rFonts w:hint="eastAsia"/>
        </w:rPr>
        <w:t>和有关农产品质量安全标准，执行对冷链物流农产品及其包装、运输工具、作业环境等的检验检测检疫要求，保证冷链农产品质量安全。</w:t>
      </w:r>
    </w:p>
    <w:p>
      <w:pPr>
        <w:pStyle w:val="163"/>
      </w:pPr>
      <w:bookmarkStart w:id="112" w:name="_Toc115684181"/>
      <w:bookmarkStart w:id="113" w:name="_Toc115684270"/>
      <w:r>
        <w:t> </w:t>
      </w:r>
      <w:r>
        <w:rPr>
          <w:rFonts w:hint="eastAsia"/>
        </w:rPr>
        <w:t>储存、运输农产品的容器、工具和设备应安全、无害；禁止将农产品与有毒有害物质一同储存、运输，防止污染农产品。</w:t>
      </w:r>
      <w:bookmarkEnd w:id="112"/>
      <w:bookmarkEnd w:id="113"/>
    </w:p>
    <w:p>
      <w:pPr>
        <w:pStyle w:val="163"/>
        <w:rPr>
          <w:kern w:val="2"/>
          <w:szCs w:val="21"/>
        </w:rPr>
      </w:pPr>
      <w:r>
        <w:rPr>
          <w:rFonts w:hint="eastAsia"/>
        </w:rPr>
        <w:t>销售的农产品应当符合农产品质量安全标准。</w:t>
      </w:r>
    </w:p>
    <w:p>
      <w:pPr>
        <w:pStyle w:val="163"/>
      </w:pPr>
      <w:r>
        <w:rPr>
          <w:rFonts w:hint="eastAsia"/>
        </w:rPr>
        <w:t>销售的农产品应包装或者附加承诺达标合格证等标识的，须按相关规定进行包装或者附加标识。使用添加剂的，还应当按照规定标明添加剂的名称。</w:t>
      </w:r>
    </w:p>
    <w:p>
      <w:pPr>
        <w:pStyle w:val="163"/>
      </w:pPr>
      <w:bookmarkStart w:id="114" w:name="_Toc115684182"/>
      <w:bookmarkStart w:id="115" w:name="_Toc115684271"/>
      <w:r>
        <w:rPr>
          <w:rFonts w:hint="eastAsia"/>
        </w:rPr>
        <w:t>应建立完善</w:t>
      </w:r>
      <w:r>
        <w:rPr>
          <w:rFonts w:hint="eastAsia"/>
          <w:lang w:eastAsia="zh-CN"/>
        </w:rPr>
        <w:t>地</w:t>
      </w:r>
      <w:r>
        <w:rPr>
          <w:rFonts w:hint="eastAsia"/>
        </w:rPr>
        <w:t>售后服务机制。</w:t>
      </w:r>
      <w:bookmarkEnd w:id="114"/>
      <w:bookmarkEnd w:id="115"/>
    </w:p>
    <w:p>
      <w:pPr>
        <w:pStyle w:val="105"/>
        <w:spacing w:before="240" w:after="240"/>
      </w:pPr>
      <w:bookmarkStart w:id="116" w:name="_Toc115684272"/>
      <w:bookmarkStart w:id="117" w:name="_Toc115684320"/>
      <w:bookmarkStart w:id="118" w:name="_Toc115684479"/>
      <w:bookmarkStart w:id="119" w:name="_Toc115684183"/>
      <w:r>
        <w:rPr>
          <w:rFonts w:hint="eastAsia"/>
        </w:rPr>
        <w:t>可持续发展</w:t>
      </w:r>
      <w:bookmarkEnd w:id="116"/>
      <w:bookmarkEnd w:id="117"/>
      <w:bookmarkEnd w:id="118"/>
      <w:bookmarkEnd w:id="119"/>
    </w:p>
    <w:p>
      <w:pPr>
        <w:pStyle w:val="106"/>
        <w:spacing w:before="120" w:after="120"/>
      </w:pPr>
      <w:bookmarkStart w:id="120" w:name="_Toc115684184"/>
      <w:bookmarkStart w:id="121" w:name="_Toc115684273"/>
      <w:bookmarkStart w:id="122" w:name="_Toc115684480"/>
      <w:bookmarkStart w:id="123" w:name="_Toc115684321"/>
      <w:r>
        <w:rPr>
          <w:rFonts w:hint="eastAsia"/>
        </w:rPr>
        <w:t>生产基地</w:t>
      </w:r>
      <w:bookmarkEnd w:id="120"/>
      <w:bookmarkEnd w:id="121"/>
      <w:bookmarkEnd w:id="122"/>
      <w:bookmarkEnd w:id="123"/>
    </w:p>
    <w:p>
      <w:pPr>
        <w:pStyle w:val="57"/>
        <w:ind w:firstLine="420"/>
      </w:pPr>
      <w:r>
        <w:rPr>
          <w:rFonts w:hint="eastAsia"/>
        </w:rPr>
        <w:t>有稳定的农产品生产基地，年限应在</w:t>
      </w:r>
      <w:r>
        <w:t>2</w:t>
      </w:r>
      <w:r>
        <w:rPr>
          <w:rFonts w:hint="eastAsia"/>
        </w:rPr>
        <w:t>年以上。</w:t>
      </w:r>
    </w:p>
    <w:p>
      <w:pPr>
        <w:pStyle w:val="106"/>
        <w:spacing w:before="120" w:after="120"/>
      </w:pPr>
      <w:bookmarkStart w:id="124" w:name="_Toc115684481"/>
      <w:bookmarkStart w:id="125" w:name="_Toc115684274"/>
      <w:bookmarkStart w:id="126" w:name="_Toc115684185"/>
      <w:bookmarkStart w:id="127" w:name="_Toc115684322"/>
      <w:r>
        <w:rPr>
          <w:rFonts w:hint="eastAsia"/>
        </w:rPr>
        <w:t>技术支撑</w:t>
      </w:r>
      <w:bookmarkEnd w:id="124"/>
      <w:bookmarkEnd w:id="125"/>
      <w:bookmarkEnd w:id="126"/>
      <w:bookmarkEnd w:id="127"/>
    </w:p>
    <w:p>
      <w:pPr>
        <w:pStyle w:val="57"/>
        <w:ind w:firstLine="420"/>
      </w:pPr>
      <w:r>
        <w:rPr>
          <w:rFonts w:hint="eastAsia"/>
        </w:rPr>
        <w:t>建立与相关农技部门、大专院校、科研机构等单位及乡土专家的结对指导机制，并配备专业技术人员，从事新技术、新品种和新设备推广等工作。</w:t>
      </w:r>
    </w:p>
    <w:p>
      <w:pPr>
        <w:pStyle w:val="106"/>
        <w:spacing w:before="120" w:after="120"/>
      </w:pPr>
      <w:bookmarkStart w:id="128" w:name="_Toc115684275"/>
      <w:bookmarkStart w:id="129" w:name="_Toc115684482"/>
      <w:bookmarkStart w:id="130" w:name="_Toc115684323"/>
      <w:bookmarkStart w:id="131" w:name="_Toc115684186"/>
      <w:r>
        <w:rPr>
          <w:rFonts w:hint="eastAsia"/>
        </w:rPr>
        <w:t>经营模式</w:t>
      </w:r>
      <w:bookmarkEnd w:id="128"/>
      <w:bookmarkEnd w:id="129"/>
      <w:bookmarkEnd w:id="130"/>
      <w:bookmarkEnd w:id="131"/>
    </w:p>
    <w:p>
      <w:pPr>
        <w:pStyle w:val="66"/>
        <w:spacing w:before="120" w:after="120"/>
        <w:rPr>
          <w:rFonts w:ascii="宋体" w:hAnsi="宋体" w:eastAsia="宋体"/>
        </w:rPr>
      </w:pPr>
      <w:r>
        <w:rPr>
          <w:rFonts w:hint="eastAsia" w:ascii="宋体" w:hAnsi="宋体" w:eastAsia="宋体"/>
        </w:rPr>
        <w:t>宜采用“公司+农户</w:t>
      </w:r>
      <w:r>
        <w:rPr>
          <w:rFonts w:hint="eastAsia" w:ascii="宋体" w:hAnsi="宋体" w:eastAsia="宋体"/>
          <w:lang w:eastAsia="zh-CN"/>
        </w:rPr>
        <w:t>”“</w:t>
      </w:r>
      <w:r>
        <w:rPr>
          <w:rFonts w:hint="eastAsia" w:ascii="宋体" w:hAnsi="宋体" w:eastAsia="宋体"/>
        </w:rPr>
        <w:t>公司+农民专业合作社”等经营模式进行一体化经营。</w:t>
      </w:r>
    </w:p>
    <w:p>
      <w:pPr>
        <w:pStyle w:val="66"/>
        <w:spacing w:before="120" w:after="120"/>
        <w:rPr>
          <w:rFonts w:ascii="宋体" w:hAnsi="宋体" w:eastAsia="宋体"/>
        </w:rPr>
      </w:pPr>
      <w:r>
        <w:rPr>
          <w:rFonts w:hint="eastAsia" w:ascii="宋体" w:hAnsi="宋体" w:eastAsia="宋体"/>
        </w:rPr>
        <w:t>宜通过网络平台、新零售创新销售等方式，扩大农产品销售范围。</w:t>
      </w:r>
    </w:p>
    <w:p>
      <w:pPr>
        <w:pStyle w:val="105"/>
        <w:spacing w:before="240" w:after="240"/>
      </w:pPr>
      <w:bookmarkStart w:id="132" w:name="_Toc115684483"/>
      <w:bookmarkStart w:id="133" w:name="_Toc115684187"/>
      <w:bookmarkStart w:id="134" w:name="_Toc115684276"/>
      <w:bookmarkStart w:id="135" w:name="_Toc115684324"/>
      <w:r>
        <w:rPr>
          <w:rFonts w:hint="eastAsia"/>
        </w:rPr>
        <w:t>风险管理</w:t>
      </w:r>
      <w:bookmarkEnd w:id="132"/>
      <w:bookmarkEnd w:id="133"/>
      <w:bookmarkEnd w:id="134"/>
      <w:bookmarkEnd w:id="135"/>
    </w:p>
    <w:p>
      <w:pPr>
        <w:pStyle w:val="163"/>
      </w:pPr>
      <w:bookmarkStart w:id="136" w:name="_Toc115684188"/>
      <w:bookmarkStart w:id="137" w:name="_Toc115684277"/>
      <w:bookmarkStart w:id="138" w:name="_Toc115684325"/>
      <w:r>
        <w:rPr>
          <w:rFonts w:hint="eastAsia"/>
        </w:rPr>
        <w:t>建立农产品风险监测机制。做好市场风险监测；根据农产品特点，进行农产品安全风险隐患的排查。</w:t>
      </w:r>
      <w:bookmarkEnd w:id="136"/>
      <w:bookmarkEnd w:id="137"/>
      <w:bookmarkEnd w:id="138"/>
    </w:p>
    <w:p>
      <w:pPr>
        <w:pStyle w:val="163"/>
      </w:pPr>
      <w:bookmarkStart w:id="139" w:name="_Toc115684326"/>
      <w:bookmarkStart w:id="140" w:name="_Toc115684278"/>
      <w:bookmarkStart w:id="141" w:name="_Toc115684189"/>
      <w:r>
        <w:rPr>
          <w:rFonts w:hint="eastAsia"/>
        </w:rPr>
        <w:t>制定应急预案，包括发生停水、停电、火灾、灾害性天气（台风、洪涝、高温、低温等）、病害（疾病、疫病、虫害）或突发性污染等事件时采取的措施。</w:t>
      </w:r>
      <w:bookmarkEnd w:id="139"/>
      <w:bookmarkEnd w:id="140"/>
      <w:bookmarkEnd w:id="141"/>
    </w:p>
    <w:p>
      <w:pPr>
        <w:pStyle w:val="163"/>
      </w:pPr>
      <w:bookmarkStart w:id="142" w:name="_Toc115684190"/>
      <w:bookmarkStart w:id="143" w:name="_Toc115684279"/>
      <w:bookmarkStart w:id="144" w:name="_Toc115684327"/>
      <w:r>
        <w:rPr>
          <w:rFonts w:hint="eastAsia"/>
        </w:rPr>
        <w:t>制定经营风险预防措施，具有处置经营风险的能力。</w:t>
      </w:r>
      <w:bookmarkEnd w:id="142"/>
      <w:bookmarkEnd w:id="143"/>
      <w:bookmarkEnd w:id="144"/>
    </w:p>
    <w:p>
      <w:pPr>
        <w:pStyle w:val="105"/>
        <w:spacing w:before="240" w:after="240"/>
      </w:pPr>
      <w:bookmarkStart w:id="145" w:name="_Toc115684191"/>
      <w:bookmarkStart w:id="146" w:name="_Toc115684280"/>
      <w:bookmarkStart w:id="147" w:name="_Toc115684484"/>
      <w:bookmarkStart w:id="148" w:name="_Toc115684328"/>
      <w:r>
        <w:rPr>
          <w:rFonts w:hint="eastAsia"/>
        </w:rPr>
        <w:t>人员管理</w:t>
      </w:r>
      <w:bookmarkEnd w:id="145"/>
      <w:bookmarkEnd w:id="146"/>
      <w:bookmarkEnd w:id="147"/>
      <w:bookmarkEnd w:id="148"/>
    </w:p>
    <w:p>
      <w:pPr>
        <w:pStyle w:val="163"/>
      </w:pPr>
      <w:bookmarkStart w:id="149" w:name="_Toc115684281"/>
      <w:bookmarkStart w:id="150" w:name="_Toc115684329"/>
      <w:bookmarkStart w:id="151" w:name="_Toc115684192"/>
      <w:r>
        <w:rPr>
          <w:rFonts w:hint="eastAsia"/>
        </w:rPr>
        <w:t>具有完善的员工管理、薪酬、激励、人才引进和培养等制度。</w:t>
      </w:r>
      <w:bookmarkEnd w:id="149"/>
      <w:bookmarkEnd w:id="150"/>
      <w:bookmarkEnd w:id="151"/>
    </w:p>
    <w:p>
      <w:pPr>
        <w:pStyle w:val="163"/>
      </w:pPr>
      <w:bookmarkStart w:id="152" w:name="_Toc115684193"/>
      <w:bookmarkStart w:id="153" w:name="_Toc115684330"/>
      <w:bookmarkStart w:id="154" w:name="_Toc115684282"/>
      <w:r>
        <w:rPr>
          <w:rFonts w:hint="eastAsia"/>
        </w:rPr>
        <w:t>应制定和实施员工培训计划，定期对员工进行业务、安全、管理等方面的培训。</w:t>
      </w:r>
      <w:bookmarkEnd w:id="152"/>
      <w:bookmarkEnd w:id="153"/>
      <w:bookmarkEnd w:id="154"/>
    </w:p>
    <w:p>
      <w:pPr>
        <w:pStyle w:val="105"/>
        <w:spacing w:before="240" w:after="240"/>
      </w:pPr>
      <w:bookmarkStart w:id="155" w:name="_Toc115684331"/>
      <w:bookmarkStart w:id="156" w:name="_Toc115684485"/>
      <w:bookmarkStart w:id="157" w:name="_Toc115684194"/>
      <w:bookmarkStart w:id="158" w:name="_Toc115684283"/>
      <w:r>
        <w:rPr>
          <w:rFonts w:hint="eastAsia"/>
        </w:rPr>
        <w:t>履行主体责任</w:t>
      </w:r>
      <w:bookmarkEnd w:id="155"/>
      <w:bookmarkEnd w:id="156"/>
      <w:bookmarkEnd w:id="157"/>
      <w:bookmarkEnd w:id="158"/>
    </w:p>
    <w:p>
      <w:pPr>
        <w:pStyle w:val="163"/>
      </w:pPr>
      <w:bookmarkStart w:id="159" w:name="_Toc115684284"/>
      <w:bookmarkStart w:id="160" w:name="_Toc115684195"/>
      <w:bookmarkStart w:id="161" w:name="_Toc115684332"/>
      <w:r>
        <w:rPr>
          <w:rFonts w:hint="eastAsia"/>
        </w:rPr>
        <w:t>农产品生产经营主体应签署农产品质量安全承诺书。</w:t>
      </w:r>
      <w:bookmarkEnd w:id="159"/>
      <w:bookmarkEnd w:id="160"/>
      <w:bookmarkEnd w:id="161"/>
    </w:p>
    <w:p>
      <w:pPr>
        <w:pStyle w:val="163"/>
      </w:pPr>
      <w:bookmarkStart w:id="162" w:name="_Toc115684333"/>
      <w:bookmarkStart w:id="163" w:name="_Toc115684196"/>
      <w:bookmarkStart w:id="164" w:name="_Toc115684285"/>
      <w:r>
        <w:rPr>
          <w:rFonts w:hint="eastAsia"/>
        </w:rPr>
        <w:t>农产品生产经营主体的质量安全承诺和诚信经营应纳入征信体系。</w:t>
      </w:r>
      <w:bookmarkEnd w:id="162"/>
      <w:bookmarkEnd w:id="163"/>
      <w:bookmarkEnd w:id="164"/>
    </w:p>
    <w:p>
      <w:pPr>
        <w:pStyle w:val="163"/>
      </w:pPr>
      <w:bookmarkStart w:id="165" w:name="_Toc115684286"/>
      <w:bookmarkStart w:id="166" w:name="_Toc115684334"/>
      <w:bookmarkStart w:id="167" w:name="_Toc115684197"/>
      <w:r>
        <w:rPr>
          <w:rFonts w:hint="eastAsia"/>
        </w:rPr>
        <w:t>农产品生产经营主体在生产和经营方面对行业内或区域内具有辐射带动作用。</w:t>
      </w:r>
      <w:bookmarkEnd w:id="165"/>
      <w:bookmarkEnd w:id="166"/>
      <w:bookmarkEnd w:id="167"/>
    </w:p>
    <w:bookmarkEnd w:id="27"/>
    <w:p>
      <w:pPr>
        <w:pStyle w:val="57"/>
        <w:ind w:firstLine="0" w:firstLineChars="0"/>
        <w:jc w:val="center"/>
      </w:pPr>
      <w:bookmarkStart w:id="168"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8"/>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T/JPH 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vSKVPNne5Vygw397E3jQ6BegCRSNmVLec+JQX8cc3ecw/W4pzjkGxNrLMqM6f6fiIEQwYZD5d4HpyyiG2W1CTQ==" w:salt="sxV5w/FZdPAKnJFO0howV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2C59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D05"/>
    <w:rsid w:val="00060C2E"/>
    <w:rsid w:val="00061033"/>
    <w:rsid w:val="000619E9"/>
    <w:rsid w:val="000622D4"/>
    <w:rsid w:val="0006357D"/>
    <w:rsid w:val="00067F1E"/>
    <w:rsid w:val="000703D8"/>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9DB"/>
    <w:rsid w:val="001446C2"/>
    <w:rsid w:val="001457E7"/>
    <w:rsid w:val="00145D9D"/>
    <w:rsid w:val="00146388"/>
    <w:rsid w:val="001529E5"/>
    <w:rsid w:val="00152FB3"/>
    <w:rsid w:val="00153C7E"/>
    <w:rsid w:val="0015568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EF5"/>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8D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43B6"/>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991"/>
    <w:rsid w:val="002C7EBB"/>
    <w:rsid w:val="002D06C1"/>
    <w:rsid w:val="002D42B5"/>
    <w:rsid w:val="002D4F1A"/>
    <w:rsid w:val="002D6EC6"/>
    <w:rsid w:val="002D79AC"/>
    <w:rsid w:val="002E039D"/>
    <w:rsid w:val="002E03C0"/>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AD0"/>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B8C"/>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9AD"/>
    <w:rsid w:val="00541853"/>
    <w:rsid w:val="00543BDA"/>
    <w:rsid w:val="005441CC"/>
    <w:rsid w:val="005479DA"/>
    <w:rsid w:val="00547BCC"/>
    <w:rsid w:val="0055013B"/>
    <w:rsid w:val="00551F6F"/>
    <w:rsid w:val="00555044"/>
    <w:rsid w:val="0056099A"/>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6EE"/>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EDD"/>
    <w:rsid w:val="005E6812"/>
    <w:rsid w:val="005E7881"/>
    <w:rsid w:val="005E78E0"/>
    <w:rsid w:val="005F0D9C"/>
    <w:rsid w:val="005F1D6A"/>
    <w:rsid w:val="005F284E"/>
    <w:rsid w:val="005F5B7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66D"/>
    <w:rsid w:val="00636E3E"/>
    <w:rsid w:val="006379F7"/>
    <w:rsid w:val="00637E4D"/>
    <w:rsid w:val="00640620"/>
    <w:rsid w:val="00641A1F"/>
    <w:rsid w:val="00645904"/>
    <w:rsid w:val="0064644E"/>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05D"/>
    <w:rsid w:val="006F03A8"/>
    <w:rsid w:val="006F2ACA"/>
    <w:rsid w:val="006F2ADC"/>
    <w:rsid w:val="006F2BFE"/>
    <w:rsid w:val="006F31E9"/>
    <w:rsid w:val="006F6284"/>
    <w:rsid w:val="007002C5"/>
    <w:rsid w:val="00704387"/>
    <w:rsid w:val="00707669"/>
    <w:rsid w:val="00711CBA"/>
    <w:rsid w:val="00711FB5"/>
    <w:rsid w:val="00712A01"/>
    <w:rsid w:val="00714F58"/>
    <w:rsid w:val="007214EC"/>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AD2"/>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2E22"/>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5544"/>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963"/>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910"/>
    <w:rsid w:val="00A9295B"/>
    <w:rsid w:val="00A93B09"/>
    <w:rsid w:val="00A952D7"/>
    <w:rsid w:val="00A963F7"/>
    <w:rsid w:val="00A96AD8"/>
    <w:rsid w:val="00AA052C"/>
    <w:rsid w:val="00AA1E45"/>
    <w:rsid w:val="00AA4286"/>
    <w:rsid w:val="00AA456B"/>
    <w:rsid w:val="00AA57F5"/>
    <w:rsid w:val="00AA672E"/>
    <w:rsid w:val="00AA6EC9"/>
    <w:rsid w:val="00AB40B5"/>
    <w:rsid w:val="00AB6309"/>
    <w:rsid w:val="00AB6C5F"/>
    <w:rsid w:val="00AB7129"/>
    <w:rsid w:val="00AC27A6"/>
    <w:rsid w:val="00AC30F7"/>
    <w:rsid w:val="00AC3A5A"/>
    <w:rsid w:val="00AC41A3"/>
    <w:rsid w:val="00AC4D95"/>
    <w:rsid w:val="00AC5DF4"/>
    <w:rsid w:val="00AC72FB"/>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53E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8CE"/>
    <w:rsid w:val="00BA42B2"/>
    <w:rsid w:val="00BA58D4"/>
    <w:rsid w:val="00BA5B9E"/>
    <w:rsid w:val="00BA7C9A"/>
    <w:rsid w:val="00BB5F8F"/>
    <w:rsid w:val="00BB657A"/>
    <w:rsid w:val="00BC1A4E"/>
    <w:rsid w:val="00BC5DC7"/>
    <w:rsid w:val="00BC6B8B"/>
    <w:rsid w:val="00BC73D8"/>
    <w:rsid w:val="00BD36DC"/>
    <w:rsid w:val="00BD52D7"/>
    <w:rsid w:val="00BD5AD2"/>
    <w:rsid w:val="00BE22F3"/>
    <w:rsid w:val="00BE5B52"/>
    <w:rsid w:val="00BE7B8D"/>
    <w:rsid w:val="00BF0993"/>
    <w:rsid w:val="00BF10A9"/>
    <w:rsid w:val="00BF1703"/>
    <w:rsid w:val="00BF231C"/>
    <w:rsid w:val="00BF3770"/>
    <w:rsid w:val="00BF51E5"/>
    <w:rsid w:val="00BF6A0B"/>
    <w:rsid w:val="00BF74A6"/>
    <w:rsid w:val="00C013AD"/>
    <w:rsid w:val="00C04904"/>
    <w:rsid w:val="00C056B3"/>
    <w:rsid w:val="00C103E5"/>
    <w:rsid w:val="00C123A8"/>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1C2"/>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6EAC"/>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A8F"/>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09CA"/>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A3A"/>
    <w:rsid w:val="00FE1FBE"/>
    <w:rsid w:val="00FE3901"/>
    <w:rsid w:val="00FE39D3"/>
    <w:rsid w:val="00FE4BCE"/>
    <w:rsid w:val="00FE54AE"/>
    <w:rsid w:val="00FE576A"/>
    <w:rsid w:val="00FE7E79"/>
    <w:rsid w:val="00FF3E7D"/>
    <w:rsid w:val="00FF5B99"/>
    <w:rsid w:val="00FF730C"/>
    <w:rsid w:val="00FF73F4"/>
    <w:rsid w:val="00FF7CE4"/>
    <w:rsid w:val="00FF7E39"/>
    <w:rsid w:val="21F87513"/>
    <w:rsid w:val="34CB3AF6"/>
    <w:rsid w:val="4DB7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AA3A9D777C4E30A020E2EE01F7BD0A"/>
        <w:style w:val=""/>
        <w:category>
          <w:name w:val="常规"/>
          <w:gallery w:val="placeholder"/>
        </w:category>
        <w:types>
          <w:type w:val="bbPlcHdr"/>
        </w:types>
        <w:behaviors>
          <w:behavior w:val="content"/>
        </w:behaviors>
        <w:description w:val=""/>
        <w:guid w:val="{7FF74FE3-DAC6-4CF5-ABE8-08571546B3A2}"/>
      </w:docPartPr>
      <w:docPartBody>
        <w:p>
          <w:pPr>
            <w:pStyle w:val="5"/>
          </w:pPr>
          <w:r>
            <w:rPr>
              <w:rStyle w:val="4"/>
              <w:rFonts w:hint="eastAsia"/>
            </w:rPr>
            <w:t>单击或点击此处输入文字。</w:t>
          </w:r>
        </w:p>
      </w:docPartBody>
    </w:docPart>
    <w:docPart>
      <w:docPartPr>
        <w:name w:val="B283310DADED463B9BFF3A4FF169FA4E"/>
        <w:style w:val=""/>
        <w:category>
          <w:name w:val="常规"/>
          <w:gallery w:val="placeholder"/>
        </w:category>
        <w:types>
          <w:type w:val="bbPlcHdr"/>
        </w:types>
        <w:behaviors>
          <w:behavior w:val="content"/>
        </w:behaviors>
        <w:description w:val=""/>
        <w:guid w:val="{83E72826-B6F3-482D-B56A-2A14722064F3}"/>
      </w:docPartPr>
      <w:docPartBody>
        <w:p>
          <w:pPr>
            <w:pStyle w:val="6"/>
          </w:pPr>
          <w:r>
            <w:rPr>
              <w:rStyle w:val="4"/>
              <w:rFonts w:hint="eastAsia"/>
            </w:rPr>
            <w:t>选择一项。</w:t>
          </w:r>
        </w:p>
      </w:docPartBody>
    </w:docPart>
    <w:docPart>
      <w:docPartPr>
        <w:name w:val="57F32A11FD7A4AC18875ACF4AE895EAA"/>
        <w:style w:val=""/>
        <w:category>
          <w:name w:val="常规"/>
          <w:gallery w:val="placeholder"/>
        </w:category>
        <w:types>
          <w:type w:val="bbPlcHdr"/>
        </w:types>
        <w:behaviors>
          <w:behavior w:val="content"/>
        </w:behaviors>
        <w:description w:val=""/>
        <w:guid w:val="{F3758089-F473-4B4D-8B93-4707910E7C9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B"/>
    <w:rsid w:val="001938B0"/>
    <w:rsid w:val="0019746E"/>
    <w:rsid w:val="003000D0"/>
    <w:rsid w:val="0031483B"/>
    <w:rsid w:val="003E0BFF"/>
    <w:rsid w:val="004D641A"/>
    <w:rsid w:val="0063027B"/>
    <w:rsid w:val="00767BE1"/>
    <w:rsid w:val="00AF00B8"/>
    <w:rsid w:val="00FA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AAA3A9D777C4E30A020E2EE01F7BD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283310DADED463B9BFF3A4FF169FA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7F32A11FD7A4AC18875ACF4AE895EA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717</Words>
  <Characters>4091</Characters>
  <Lines>34</Lines>
  <Paragraphs>9</Paragraphs>
  <TotalTime>8</TotalTime>
  <ScaleCrop>false</ScaleCrop>
  <LinksUpToDate>false</LinksUpToDate>
  <CharactersWithSpaces>4799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2023-09-11T11:29:00Z</dcterms:created>
  <dc:creator>zqp</dc:creator>
  <dc:description>&lt;config cover="true" show_menu="true" version="1.0.0" doctype="SDKXY"&gt;_x000d_
&lt;/config&gt;</dc:description>
  <cp:lastModifiedBy>悟空</cp:lastModifiedBy>
  <cp:lastPrinted>2022-10-16T07:50:00Z</cp:lastPrinted>
  <dcterms:modified xsi:type="dcterms:W3CDTF">2023-09-12T01:40:56Z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C249832E8AA047B2A058A3D9D29D004A_13</vt:lpwstr>
  </property>
</Properties>
</file>